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val="en-US" w:eastAsia="zh-CN"/>
        </w:rPr>
      </w:pPr>
      <w:r>
        <w:rPr>
          <w:rFonts w:hint="eastAsia"/>
          <w:sz w:val="32"/>
          <w:szCs w:val="32"/>
          <w:lang w:val="en-US" w:eastAsia="zh-CN"/>
        </w:rPr>
        <w:t>安徽省通源环境节能股份有限公司调研报告</w:t>
      </w:r>
    </w:p>
    <w:p>
      <w:pPr>
        <w:jc w:val="center"/>
        <w:rPr>
          <w:rFonts w:hint="eastAsia"/>
          <w:lang w:val="en-US" w:eastAsia="zh-CN"/>
        </w:rPr>
      </w:pPr>
    </w:p>
    <w:p>
      <w:pPr>
        <w:jc w:val="center"/>
        <w:rPr>
          <w:rFonts w:hint="eastAsia"/>
          <w:lang w:val="en-US" w:eastAsia="zh-CN"/>
        </w:rPr>
      </w:pPr>
    </w:p>
    <w:p>
      <w:pPr>
        <w:jc w:val="both"/>
        <w:rPr>
          <w:rFonts w:hint="eastAsia"/>
          <w:lang w:val="en-US" w:eastAsia="zh-CN"/>
        </w:rPr>
      </w:pPr>
      <w:r>
        <w:rPr>
          <w:rFonts w:hint="eastAsia"/>
          <w:lang w:val="en-US" w:eastAsia="zh-CN"/>
        </w:rPr>
        <w:t>调研人员：协会</w:t>
      </w:r>
      <w:bookmarkStart w:id="0" w:name="_GoBack"/>
      <w:bookmarkEnd w:id="0"/>
      <w:r>
        <w:rPr>
          <w:rFonts w:hint="eastAsia"/>
          <w:lang w:val="en-US" w:eastAsia="zh-CN"/>
        </w:rPr>
        <w:t>秘书处</w:t>
      </w:r>
    </w:p>
    <w:p>
      <w:pPr>
        <w:jc w:val="both"/>
        <w:rPr>
          <w:rFonts w:hint="eastAsia"/>
          <w:lang w:val="en-US" w:eastAsia="zh-CN"/>
        </w:rPr>
      </w:pPr>
      <w:r>
        <w:rPr>
          <w:rFonts w:hint="eastAsia"/>
          <w:lang w:val="en-US" w:eastAsia="zh-CN"/>
        </w:rPr>
        <w:t>调研时间：2018年6月6号</w:t>
      </w:r>
    </w:p>
    <w:p>
      <w:pPr>
        <w:jc w:val="both"/>
        <w:rPr>
          <w:rFonts w:hint="eastAsia"/>
          <w:lang w:val="en-US" w:eastAsia="zh-CN"/>
        </w:rPr>
      </w:pPr>
      <w:r>
        <w:rPr>
          <w:rFonts w:hint="eastAsia"/>
          <w:lang w:val="en-US" w:eastAsia="zh-CN"/>
        </w:rPr>
        <w:t>接待人员：通源环境办公室主任丁彦、财务工作人员</w:t>
      </w:r>
    </w:p>
    <w:p>
      <w:pPr>
        <w:jc w:val="both"/>
        <w:rPr>
          <w:rFonts w:hint="eastAsia"/>
          <w:lang w:val="en-US" w:eastAsia="zh-CN"/>
        </w:rPr>
      </w:pPr>
    </w:p>
    <w:p>
      <w:pPr>
        <w:pStyle w:val="2"/>
        <w:keepNext w:val="0"/>
        <w:keepLines w:val="0"/>
        <w:widowControl/>
        <w:suppressLineNumbers w:val="0"/>
        <w:spacing w:before="0" w:beforeAutospacing="1" w:after="0" w:afterAutospacing="0" w:line="360" w:lineRule="auto"/>
        <w:ind w:left="0" w:right="0" w:firstLine="480"/>
        <w:jc w:val="left"/>
        <w:rPr>
          <w:rFonts w:hint="eastAsia"/>
          <w:lang w:val="en-US" w:eastAsia="zh-CN"/>
        </w:rPr>
      </w:pPr>
      <w:r>
        <w:rPr>
          <w:rFonts w:hint="eastAsia"/>
          <w:lang w:val="en-US" w:eastAsia="zh-CN"/>
        </w:rPr>
        <w:t>一、公司简介</w:t>
      </w:r>
    </w:p>
    <w:p>
      <w:pPr>
        <w:pStyle w:val="2"/>
        <w:keepNext w:val="0"/>
        <w:keepLines w:val="0"/>
        <w:widowControl/>
        <w:numPr>
          <w:ilvl w:val="0"/>
          <w:numId w:val="0"/>
        </w:numPr>
        <w:suppressLineNumbers w:val="0"/>
        <w:spacing w:before="0" w:beforeAutospacing="1" w:after="0" w:afterAutospacing="0" w:line="360" w:lineRule="auto"/>
        <w:ind w:leftChars="200" w:right="0" w:rightChars="0" w:firstLine="480"/>
        <w:jc w:val="left"/>
        <w:rPr>
          <w:rFonts w:hint="eastAsia"/>
          <w:szCs w:val="22"/>
          <w:lang w:val="en-US" w:eastAsia="zh-CN"/>
        </w:rPr>
      </w:pPr>
      <w:r>
        <w:rPr>
          <w:rFonts w:hint="eastAsia"/>
          <w:szCs w:val="22"/>
          <w:lang w:val="en-US" w:eastAsia="zh-CN"/>
        </w:rPr>
        <w:t>安徽省通源环境节能股份有限公司成立于1999年（简称通源环境），聚焦于环保产业类，以“保护生态环境，建设绿色未来”为使命愿景、以“责任铸就、境善境美”为核心理念，力争成为环保行业最具竞争力的上市企业。该公司的主要业务板块有生态屏障修复、污泥处理处置、水环境综合整治、危固废处置与土壤修复，其中污泥处置、生态屏障为核心板块位居全国前列，土壤修复板块华东首屈一指，危废医废板块安徽实力最强，水环境综合整治为新拓展业务。2015年，通源环境进行股份制改造，成立股份制公司并成功登陆新三板。</w:t>
      </w:r>
    </w:p>
    <w:p>
      <w:pPr>
        <w:pStyle w:val="2"/>
        <w:keepNext w:val="0"/>
        <w:keepLines w:val="0"/>
        <w:widowControl/>
        <w:suppressLineNumbers w:val="0"/>
        <w:spacing w:before="0" w:beforeAutospacing="1" w:after="0" w:afterAutospacing="0" w:line="360" w:lineRule="auto"/>
        <w:ind w:left="0" w:right="0" w:firstLine="480"/>
        <w:jc w:val="left"/>
        <w:rPr>
          <w:rFonts w:hint="eastAsia"/>
          <w:szCs w:val="22"/>
          <w:lang w:val="en-US" w:eastAsia="zh-CN"/>
        </w:rPr>
      </w:pPr>
      <w:r>
        <w:rPr>
          <w:rFonts w:hint="eastAsia"/>
          <w:lang w:val="en-US" w:eastAsia="zh-CN"/>
        </w:rPr>
        <w:t>二、获得荣誉</w:t>
      </w:r>
    </w:p>
    <w:p>
      <w:pPr>
        <w:pStyle w:val="2"/>
        <w:keepNext w:val="0"/>
        <w:keepLines w:val="0"/>
        <w:widowControl/>
        <w:numPr>
          <w:ilvl w:val="0"/>
          <w:numId w:val="0"/>
        </w:numPr>
        <w:suppressLineNumbers w:val="0"/>
        <w:spacing w:before="0" w:beforeAutospacing="1" w:after="0" w:afterAutospacing="0" w:line="360" w:lineRule="auto"/>
        <w:ind w:leftChars="200" w:right="0" w:rightChars="0" w:firstLine="480"/>
        <w:jc w:val="left"/>
        <w:rPr>
          <w:rFonts w:hint="eastAsia"/>
          <w:szCs w:val="22"/>
          <w:lang w:val="en-US" w:eastAsia="zh-CN"/>
        </w:rPr>
      </w:pPr>
      <w:r>
        <w:rPr>
          <w:rFonts w:hint="eastAsia"/>
          <w:szCs w:val="22"/>
          <w:lang w:val="en-US" w:eastAsia="zh-CN"/>
        </w:rPr>
        <w:t>该公司已累计获得发明专利及实用新型专利共计40余项，被认定为国家级高新技术企业、安徽省级企业技术中心，“一体化污泥高干脱水技术开发与应用”项目分别获得合肥市科学技术一等奖和安徽省科学技术研究成果奖，连续多年被评为“AAA”级信用企业、获得“守合同重信用企业”称号。此外，该公司还分别获得“2014-2015年度中国最具价值环保设备品牌”、“2016年度中国固废行业污泥领域领先企业”、“2016-2017年度污泥处理处置优秀企业”、“2016-2017年度中国最具价值环保装备品牌”、“2017年度水环境修复领域领先企业”、“安徽省环保产业优秀企业”、“安徽省十佳环保创新企业”、“安徽省两化融合示范企业”等多项荣誉，业务覆盖含北京、上海在内的近30个省份和直辖市。</w:t>
      </w:r>
    </w:p>
    <w:p>
      <w:pPr>
        <w:pStyle w:val="2"/>
        <w:keepNext w:val="0"/>
        <w:keepLines w:val="0"/>
        <w:widowControl/>
        <w:numPr>
          <w:ilvl w:val="0"/>
          <w:numId w:val="1"/>
        </w:numPr>
        <w:suppressLineNumbers w:val="0"/>
        <w:spacing w:before="0" w:beforeAutospacing="1" w:after="0" w:afterAutospacing="0" w:line="360" w:lineRule="auto"/>
        <w:ind w:right="0" w:firstLine="480" w:firstLineChars="200"/>
        <w:jc w:val="left"/>
        <w:rPr>
          <w:rFonts w:hint="eastAsia"/>
          <w:szCs w:val="22"/>
          <w:lang w:val="en-US" w:eastAsia="zh-CN"/>
        </w:rPr>
      </w:pPr>
      <w:r>
        <w:rPr>
          <w:rFonts w:hint="eastAsia"/>
          <w:szCs w:val="22"/>
          <w:lang w:val="en-US" w:eastAsia="zh-CN"/>
        </w:rPr>
        <w:t>社会经济成就</w:t>
      </w:r>
    </w:p>
    <w:p>
      <w:pPr>
        <w:pStyle w:val="2"/>
        <w:keepNext w:val="0"/>
        <w:keepLines w:val="0"/>
        <w:widowControl/>
        <w:numPr>
          <w:ilvl w:val="0"/>
          <w:numId w:val="0"/>
        </w:numPr>
        <w:suppressLineNumbers w:val="0"/>
        <w:spacing w:before="0" w:beforeAutospacing="1" w:after="0" w:afterAutospacing="0" w:line="360" w:lineRule="auto"/>
        <w:ind w:leftChars="200" w:right="0" w:rightChars="0" w:firstLine="480"/>
        <w:jc w:val="left"/>
        <w:rPr>
          <w:rFonts w:hint="eastAsia"/>
          <w:szCs w:val="22"/>
          <w:lang w:val="en-US" w:eastAsia="zh-CN"/>
        </w:rPr>
      </w:pPr>
      <w:r>
        <w:rPr>
          <w:rFonts w:hint="eastAsia"/>
          <w:szCs w:val="22"/>
          <w:lang w:val="en-US" w:eastAsia="zh-CN"/>
        </w:rPr>
        <w:t>2017年该公司主营业务收入达63298.20万元，净利润6667.4万元，利润率10.53%，实现利税1500万元左右。</w:t>
      </w:r>
    </w:p>
    <w:p>
      <w:pPr>
        <w:pStyle w:val="2"/>
        <w:keepNext w:val="0"/>
        <w:keepLines w:val="0"/>
        <w:widowControl/>
        <w:numPr>
          <w:ilvl w:val="0"/>
          <w:numId w:val="0"/>
        </w:numPr>
        <w:suppressLineNumbers w:val="0"/>
        <w:spacing w:before="0" w:beforeAutospacing="1" w:after="0" w:afterAutospacing="0" w:line="360" w:lineRule="auto"/>
        <w:ind w:right="0" w:rightChars="0" w:firstLine="480" w:firstLineChars="200"/>
        <w:jc w:val="left"/>
        <w:rPr>
          <w:rFonts w:hint="eastAsia"/>
          <w:szCs w:val="22"/>
          <w:lang w:val="en-US" w:eastAsia="zh-CN"/>
        </w:rPr>
      </w:pPr>
      <w:r>
        <w:rPr>
          <w:rFonts w:hint="eastAsia"/>
          <w:szCs w:val="22"/>
          <w:lang w:val="en-US" w:eastAsia="zh-CN"/>
        </w:rPr>
        <w:t>四、主要业绩</w:t>
      </w:r>
    </w:p>
    <w:p>
      <w:pPr>
        <w:pStyle w:val="2"/>
        <w:keepNext w:val="0"/>
        <w:keepLines w:val="0"/>
        <w:widowControl/>
        <w:numPr>
          <w:ilvl w:val="0"/>
          <w:numId w:val="0"/>
        </w:numPr>
        <w:suppressLineNumbers w:val="0"/>
        <w:spacing w:before="0" w:beforeAutospacing="1" w:after="0" w:afterAutospacing="0" w:line="360" w:lineRule="auto"/>
        <w:ind w:leftChars="200" w:right="0" w:rightChars="0" w:firstLine="480"/>
        <w:jc w:val="left"/>
        <w:rPr>
          <w:rFonts w:hint="eastAsia"/>
          <w:szCs w:val="22"/>
          <w:lang w:val="en-US" w:eastAsia="zh-CN"/>
        </w:rPr>
      </w:pPr>
      <w:r>
        <w:rPr>
          <w:rFonts w:hint="eastAsia"/>
          <w:szCs w:val="22"/>
          <w:lang w:val="en-US" w:eastAsia="zh-CN"/>
        </w:rPr>
        <w:t>污泥处理处置类项目有：安徽省阜阳市颍南污水处理厂污泥深度处理工程、贵州省凯里市污泥无害化处理BOT项目、广西省贺州市污泥无害化处理处置BOT</w:t>
      </w:r>
      <w:r>
        <w:rPr>
          <w:rFonts w:hint="eastAsia"/>
          <w:szCs w:val="22"/>
          <w:lang w:val="en-US" w:eastAsia="zh-CN"/>
        </w:rPr>
        <w:tab/>
      </w:r>
      <w:r>
        <w:rPr>
          <w:rFonts w:hint="eastAsia"/>
          <w:szCs w:val="22"/>
          <w:lang w:val="en-US" w:eastAsia="zh-CN"/>
        </w:rPr>
        <w:t>项目、青海省西宁市污泥无害化处理、资源化利用项目、甘肃省兰州市城市污水厂污泥集中处置工程、湖北省随州市污水处理厂污泥处理处置工程、安徽省无为污泥资源化处置中心等。</w:t>
      </w:r>
    </w:p>
    <w:p>
      <w:pPr>
        <w:pStyle w:val="2"/>
        <w:keepNext w:val="0"/>
        <w:keepLines w:val="0"/>
        <w:widowControl/>
        <w:numPr>
          <w:ilvl w:val="0"/>
          <w:numId w:val="0"/>
        </w:numPr>
        <w:suppressLineNumbers w:val="0"/>
        <w:spacing w:before="0" w:beforeAutospacing="1" w:after="0" w:afterAutospacing="0" w:line="360" w:lineRule="auto"/>
        <w:ind w:leftChars="200" w:right="0" w:rightChars="0" w:firstLine="480"/>
        <w:jc w:val="left"/>
        <w:rPr>
          <w:rFonts w:hint="eastAsia"/>
          <w:szCs w:val="22"/>
          <w:lang w:val="en-US" w:eastAsia="zh-CN"/>
        </w:rPr>
      </w:pPr>
      <w:r>
        <w:rPr>
          <w:rFonts w:hint="eastAsia"/>
          <w:szCs w:val="22"/>
          <w:lang w:val="en-US" w:eastAsia="zh-CN"/>
        </w:rPr>
        <w:t>生态屏障修复案例有：安徽省合肥市龙泉山生活垃圾处理场工程、安徽省铜陵市危险物集中处置中心项目填埋场工程、湖南省张家界市煤炭湾生活垃圾填埋场工程、内蒙古阿拉善污水处理项目300万立方米晾晒池工程、黑龙江省大庆生活垃圾综合处理厂工程、广西省桂林市冲口生活垃圾卫生填埋场封场工程、新疆伊犁新天煤化工危险废物工程等。</w:t>
      </w:r>
    </w:p>
    <w:p>
      <w:pPr>
        <w:pStyle w:val="2"/>
        <w:keepNext w:val="0"/>
        <w:keepLines w:val="0"/>
        <w:widowControl/>
        <w:numPr>
          <w:ilvl w:val="0"/>
          <w:numId w:val="0"/>
        </w:numPr>
        <w:suppressLineNumbers w:val="0"/>
        <w:spacing w:before="0" w:beforeAutospacing="1" w:after="0" w:afterAutospacing="0" w:line="360" w:lineRule="auto"/>
        <w:ind w:leftChars="200" w:right="0" w:rightChars="0" w:firstLine="480"/>
        <w:jc w:val="left"/>
        <w:rPr>
          <w:rFonts w:hint="eastAsia"/>
          <w:szCs w:val="22"/>
          <w:lang w:val="en-US" w:eastAsia="zh-CN"/>
        </w:rPr>
      </w:pPr>
      <w:r>
        <w:rPr>
          <w:rFonts w:hint="eastAsia"/>
          <w:szCs w:val="22"/>
          <w:lang w:val="en-US" w:eastAsia="zh-CN"/>
        </w:rPr>
        <w:t>水环境综合整治类项目有：芜湖市镜湖区袁泽桥水环境综合整治工程、北京市通州区温榆河综合治理、歙县村级污水集中处理提升工程EPC项目等。</w:t>
      </w:r>
    </w:p>
    <w:p>
      <w:pPr>
        <w:pStyle w:val="2"/>
        <w:keepNext w:val="0"/>
        <w:keepLines w:val="0"/>
        <w:widowControl/>
        <w:numPr>
          <w:ilvl w:val="0"/>
          <w:numId w:val="0"/>
        </w:numPr>
        <w:suppressLineNumbers w:val="0"/>
        <w:spacing w:before="0" w:beforeAutospacing="1" w:after="0" w:afterAutospacing="0" w:line="360" w:lineRule="auto"/>
        <w:ind w:leftChars="200" w:right="0" w:rightChars="0" w:firstLine="480"/>
        <w:jc w:val="left"/>
        <w:rPr>
          <w:rFonts w:hint="eastAsia"/>
          <w:szCs w:val="22"/>
          <w:lang w:val="en-US" w:eastAsia="zh-CN"/>
        </w:rPr>
      </w:pPr>
      <w:r>
        <w:rPr>
          <w:rFonts w:hint="eastAsia"/>
          <w:szCs w:val="22"/>
          <w:lang w:val="en-US" w:eastAsia="zh-CN"/>
        </w:rPr>
        <w:t>危固废处置项目有：庐江60000吨/年废油再生工程项目、巢湖市万山医疗废物处置有限责任公司、日喀则市医疗废物处置中心、铜陵通源达废酸综合利用项目等。</w:t>
      </w:r>
    </w:p>
    <w:p>
      <w:pPr>
        <w:pStyle w:val="2"/>
        <w:keepNext w:val="0"/>
        <w:keepLines w:val="0"/>
        <w:widowControl/>
        <w:numPr>
          <w:ilvl w:val="0"/>
          <w:numId w:val="0"/>
        </w:numPr>
        <w:suppressLineNumbers w:val="0"/>
        <w:spacing w:before="0" w:beforeAutospacing="1" w:after="0" w:afterAutospacing="0" w:line="360" w:lineRule="auto"/>
        <w:ind w:leftChars="200" w:right="0" w:rightChars="0" w:firstLine="480"/>
        <w:jc w:val="left"/>
        <w:rPr>
          <w:rFonts w:hint="eastAsia"/>
          <w:szCs w:val="22"/>
          <w:lang w:val="en-US" w:eastAsia="zh-CN"/>
        </w:rPr>
      </w:pPr>
      <w:r>
        <w:rPr>
          <w:rFonts w:hint="eastAsia"/>
          <w:szCs w:val="22"/>
          <w:lang w:val="en-US" w:eastAsia="zh-CN"/>
        </w:rPr>
        <w:t>土壤修复类工程因涉及机密问题，工程名称不能详细公布。该公司紧跟土壤修复技术发展前沿，根据不同的场地污染情况，为客户提供对应的修复技术服务，独有的土壤修复调理剂可以显著改良土壤酸化、板结等问题，同时拥有重金属、有机物和矿山废渣污染综合治理方案，全方位解决各类土壤问题。</w:t>
      </w:r>
    </w:p>
    <w:p>
      <w:pPr>
        <w:pStyle w:val="2"/>
        <w:keepNext w:val="0"/>
        <w:keepLines w:val="0"/>
        <w:widowControl/>
        <w:numPr>
          <w:ilvl w:val="0"/>
          <w:numId w:val="0"/>
        </w:numPr>
        <w:suppressLineNumbers w:val="0"/>
        <w:spacing w:before="0" w:beforeAutospacing="1" w:after="0" w:afterAutospacing="0" w:line="360" w:lineRule="auto"/>
        <w:ind w:right="0" w:rightChars="0"/>
        <w:jc w:val="left"/>
        <w:rPr>
          <w:rFonts w:hint="eastAsia"/>
          <w:szCs w:val="22"/>
          <w:lang w:val="en-US" w:eastAsia="zh-CN"/>
        </w:rPr>
      </w:pPr>
      <w:r>
        <w:rPr>
          <w:rFonts w:hint="eastAsia"/>
          <w:szCs w:val="22"/>
          <w:lang w:val="en-US" w:eastAsia="zh-CN"/>
        </w:rPr>
        <w:t xml:space="preserve">    五、该公司与协会的业务联系</w:t>
      </w:r>
    </w:p>
    <w:p>
      <w:pPr>
        <w:pStyle w:val="2"/>
        <w:keepNext w:val="0"/>
        <w:keepLines w:val="0"/>
        <w:widowControl/>
        <w:numPr>
          <w:ilvl w:val="0"/>
          <w:numId w:val="0"/>
        </w:numPr>
        <w:suppressLineNumbers w:val="0"/>
        <w:spacing w:before="0" w:beforeAutospacing="1" w:after="0" w:afterAutospacing="0" w:line="360" w:lineRule="auto"/>
        <w:ind w:leftChars="200" w:right="0" w:rightChars="0" w:firstLine="480"/>
        <w:jc w:val="left"/>
        <w:rPr>
          <w:rFonts w:hint="eastAsia"/>
          <w:szCs w:val="22"/>
          <w:lang w:val="en-US" w:eastAsia="zh-CN"/>
        </w:rPr>
      </w:pPr>
      <w:r>
        <w:rPr>
          <w:rFonts w:hint="eastAsia"/>
          <w:szCs w:val="22"/>
          <w:lang w:val="en-US" w:eastAsia="zh-CN"/>
        </w:rPr>
        <w:t>该公司的水环境综合整治业务板块与协会业务范围内容有一定程度上的对口，通源环境致力于水环境保护治理，是聚焦黑臭水体治理、河湖底泥内源治理、湖泊河道整治与生态修复、村镇生活污水的综合处理、人工湿地污水处理、海绵城市与水资源综合利用规划、设计、施工及运营维护系统方案解决商。</w:t>
      </w:r>
    </w:p>
    <w:p>
      <w:pPr>
        <w:pStyle w:val="2"/>
        <w:keepNext w:val="0"/>
        <w:keepLines w:val="0"/>
        <w:widowControl/>
        <w:numPr>
          <w:ilvl w:val="0"/>
          <w:numId w:val="2"/>
        </w:numPr>
        <w:suppressLineNumbers w:val="0"/>
        <w:spacing w:before="0" w:beforeAutospacing="1" w:after="0" w:afterAutospacing="0" w:line="360" w:lineRule="auto"/>
        <w:ind w:right="0" w:firstLine="480" w:firstLineChars="200"/>
        <w:jc w:val="left"/>
        <w:rPr>
          <w:rFonts w:hint="eastAsia"/>
          <w:szCs w:val="22"/>
          <w:lang w:val="en-US" w:eastAsia="zh-CN"/>
        </w:rPr>
      </w:pPr>
      <w:r>
        <w:rPr>
          <w:rFonts w:hint="eastAsia"/>
          <w:szCs w:val="22"/>
          <w:lang w:val="en-US" w:eastAsia="zh-CN"/>
        </w:rPr>
        <w:t>对协会的意见和建议</w:t>
      </w:r>
    </w:p>
    <w:p>
      <w:pPr>
        <w:pStyle w:val="2"/>
        <w:keepNext w:val="0"/>
        <w:keepLines w:val="0"/>
        <w:widowControl/>
        <w:numPr>
          <w:ilvl w:val="0"/>
          <w:numId w:val="0"/>
        </w:numPr>
        <w:suppressLineNumbers w:val="0"/>
        <w:spacing w:before="0" w:beforeAutospacing="1" w:after="0" w:afterAutospacing="0" w:line="360" w:lineRule="auto"/>
        <w:ind w:right="0" w:rightChars="0" w:firstLine="480" w:firstLineChars="200"/>
        <w:jc w:val="left"/>
        <w:rPr>
          <w:rFonts w:hint="eastAsia"/>
          <w:szCs w:val="22"/>
          <w:lang w:val="en-US" w:eastAsia="zh-CN"/>
        </w:rPr>
      </w:pPr>
      <w:r>
        <w:rPr>
          <w:rFonts w:hint="eastAsia"/>
          <w:szCs w:val="22"/>
          <w:lang w:val="en-US" w:eastAsia="zh-CN"/>
        </w:rPr>
        <w:t>1、2018年度活动组织较少，希望多组织交流活动</w:t>
      </w:r>
    </w:p>
    <w:p>
      <w:pPr>
        <w:pStyle w:val="2"/>
        <w:keepNext w:val="0"/>
        <w:keepLines w:val="0"/>
        <w:widowControl/>
        <w:numPr>
          <w:ilvl w:val="0"/>
          <w:numId w:val="0"/>
        </w:numPr>
        <w:suppressLineNumbers w:val="0"/>
        <w:spacing w:before="0" w:beforeAutospacing="1" w:after="0" w:afterAutospacing="0" w:line="360" w:lineRule="auto"/>
        <w:ind w:right="0" w:rightChars="0" w:firstLine="480" w:firstLineChars="200"/>
        <w:jc w:val="left"/>
        <w:rPr>
          <w:rFonts w:hint="eastAsia"/>
          <w:szCs w:val="22"/>
          <w:lang w:val="en-US" w:eastAsia="zh-CN"/>
        </w:rPr>
      </w:pPr>
      <w:r>
        <w:rPr>
          <w:rFonts w:hint="eastAsia"/>
          <w:szCs w:val="22"/>
          <w:lang w:val="en-US" w:eastAsia="zh-CN"/>
        </w:rPr>
        <w:t>2、通过项目增加与地市级政府的互动</w:t>
      </w:r>
    </w:p>
    <w:p>
      <w:pPr>
        <w:pStyle w:val="2"/>
        <w:keepNext w:val="0"/>
        <w:keepLines w:val="0"/>
        <w:widowControl/>
        <w:numPr>
          <w:ilvl w:val="0"/>
          <w:numId w:val="0"/>
        </w:numPr>
        <w:suppressLineNumbers w:val="0"/>
        <w:spacing w:before="0" w:beforeAutospacing="1" w:after="0" w:afterAutospacing="0" w:line="360" w:lineRule="auto"/>
        <w:ind w:right="0" w:rightChars="0" w:firstLine="480" w:firstLineChars="200"/>
        <w:jc w:val="left"/>
        <w:rPr>
          <w:rFonts w:hint="eastAsia"/>
          <w:szCs w:val="22"/>
          <w:lang w:val="en-US" w:eastAsia="zh-CN"/>
        </w:rPr>
      </w:pPr>
      <w:r>
        <w:rPr>
          <w:rFonts w:hint="eastAsia"/>
          <w:szCs w:val="22"/>
          <w:lang w:val="en-US" w:eastAsia="zh-CN"/>
        </w:rPr>
        <w:t>3、通过各专业委员会使得各会员单位有实质性联动</w:t>
      </w:r>
    </w:p>
    <w:p>
      <w:pPr>
        <w:pStyle w:val="2"/>
        <w:keepNext w:val="0"/>
        <w:keepLines w:val="0"/>
        <w:widowControl/>
        <w:suppressLineNumbers w:val="0"/>
        <w:spacing w:before="0" w:beforeAutospacing="1" w:after="0" w:afterAutospacing="0" w:line="360" w:lineRule="auto"/>
        <w:ind w:left="0" w:right="0" w:firstLine="480"/>
        <w:jc w:val="left"/>
        <w:rPr>
          <w:rFonts w:hint="eastAsia"/>
          <w:lang w:val="en-US" w:eastAsia="zh-CN"/>
        </w:rPr>
      </w:pPr>
      <w:r>
        <w:rPr>
          <w:rFonts w:hint="eastAsia"/>
          <w:lang w:val="en-US" w:eastAsia="zh-CN"/>
        </w:rPr>
        <w:t>七、针对意见的对策</w:t>
      </w:r>
    </w:p>
    <w:p>
      <w:pPr>
        <w:pStyle w:val="2"/>
        <w:keepNext w:val="0"/>
        <w:keepLines w:val="0"/>
        <w:widowControl/>
        <w:suppressLineNumbers w:val="0"/>
        <w:spacing w:before="0" w:beforeAutospacing="1" w:after="0" w:afterAutospacing="0" w:line="360" w:lineRule="auto"/>
        <w:ind w:left="0" w:right="0" w:firstLine="480"/>
        <w:jc w:val="left"/>
        <w:rPr>
          <w:rFonts w:hint="eastAsia"/>
          <w:lang w:val="en-US" w:eastAsia="zh-CN"/>
        </w:rPr>
      </w:pPr>
      <w:r>
        <w:rPr>
          <w:rFonts w:hint="eastAsia"/>
          <w:lang w:val="en-US" w:eastAsia="zh-CN"/>
        </w:rPr>
        <w:t>1、组织有效率、有实际意义的活动，如案例分析、设计及施工单位经验总结分享、海绵城市建设成效良好地区考察活动等。</w:t>
      </w:r>
    </w:p>
    <w:p>
      <w:pPr>
        <w:pStyle w:val="2"/>
        <w:keepNext w:val="0"/>
        <w:keepLines w:val="0"/>
        <w:widowControl/>
        <w:suppressLineNumbers w:val="0"/>
        <w:spacing w:before="0" w:beforeAutospacing="1" w:after="0" w:afterAutospacing="0" w:line="360" w:lineRule="auto"/>
        <w:ind w:left="0" w:right="0" w:firstLine="480"/>
        <w:jc w:val="left"/>
        <w:rPr>
          <w:rFonts w:hint="eastAsia"/>
          <w:lang w:val="en-US" w:eastAsia="zh-CN"/>
        </w:rPr>
      </w:pPr>
      <w:r>
        <w:rPr>
          <w:rFonts w:hint="eastAsia"/>
          <w:lang w:val="en-US" w:eastAsia="zh-CN"/>
        </w:rPr>
        <w:t>2、通过各类海绵城市项目增加与地市级政府的互动，由协会带领各会员单位参与此类活动。</w:t>
      </w:r>
    </w:p>
    <w:p>
      <w:pPr>
        <w:pStyle w:val="2"/>
        <w:keepNext w:val="0"/>
        <w:keepLines w:val="0"/>
        <w:widowControl/>
        <w:suppressLineNumbers w:val="0"/>
        <w:spacing w:before="0" w:beforeAutospacing="1" w:after="0" w:afterAutospacing="0" w:line="360" w:lineRule="auto"/>
        <w:ind w:left="0" w:right="0" w:firstLine="480"/>
        <w:jc w:val="left"/>
        <w:rPr>
          <w:rFonts w:hint="eastAsia"/>
          <w:lang w:val="en-US" w:eastAsia="zh-CN"/>
        </w:rPr>
      </w:pPr>
      <w:r>
        <w:rPr>
          <w:rFonts w:hint="eastAsia"/>
          <w:lang w:val="en-US" w:eastAsia="zh-CN"/>
        </w:rPr>
        <w:t>3、协会下属各专业委员会应有实质性作用，参与全省各类海绵城市项目建设中，在技术指导、投资建设、运营管理等各环节都能起到实际的作用。</w:t>
      </w:r>
    </w:p>
    <w:p>
      <w:pPr>
        <w:pStyle w:val="2"/>
        <w:keepNext w:val="0"/>
        <w:keepLines w:val="0"/>
        <w:widowControl/>
        <w:suppressLineNumbers w:val="0"/>
        <w:spacing w:before="0" w:beforeAutospacing="1" w:after="0" w:afterAutospacing="0" w:line="360" w:lineRule="auto"/>
        <w:ind w:right="0" w:firstLine="480" w:firstLineChars="200"/>
        <w:rPr>
          <w:rFonts w:hint="eastAsia"/>
          <w:lang w:val="en-US" w:eastAsia="zh-CN"/>
        </w:rPr>
      </w:pPr>
      <w:r>
        <w:rPr>
          <w:rFonts w:hint="eastAsia"/>
          <w:lang w:val="en-US" w:eastAsia="zh-CN"/>
        </w:rPr>
        <w:t xml:space="preserve"> </w:t>
      </w:r>
    </w:p>
    <w:p>
      <w:pPr>
        <w:pStyle w:val="2"/>
        <w:keepNext w:val="0"/>
        <w:keepLines w:val="0"/>
        <w:widowControl/>
        <w:suppressLineNumbers w:val="0"/>
        <w:spacing w:before="0" w:beforeAutospacing="1" w:after="0" w:afterAutospacing="0" w:line="360" w:lineRule="auto"/>
        <w:ind w:right="0" w:firstLine="480" w:firstLineChars="200"/>
        <w:jc w:val="right"/>
        <w:rPr>
          <w:rFonts w:hint="eastAsia"/>
          <w:lang w:val="en-US" w:eastAsia="zh-CN"/>
        </w:rPr>
      </w:pPr>
      <w:r>
        <w:rPr>
          <w:rFonts w:hint="eastAsia"/>
          <w:lang w:val="en-US" w:eastAsia="zh-CN"/>
        </w:rPr>
        <w:t>2018年6月11日</w:t>
      </w:r>
    </w:p>
    <w:p>
      <w:pPr>
        <w:jc w:val="both"/>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9F384"/>
    <w:multiLevelType w:val="singleLevel"/>
    <w:tmpl w:val="4F69F384"/>
    <w:lvl w:ilvl="0" w:tentative="0">
      <w:start w:val="3"/>
      <w:numFmt w:val="chineseCounting"/>
      <w:suff w:val="nothing"/>
      <w:lvlText w:val="%1、"/>
      <w:lvlJc w:val="left"/>
      <w:rPr>
        <w:rFonts w:hint="eastAsia"/>
      </w:rPr>
    </w:lvl>
  </w:abstractNum>
  <w:abstractNum w:abstractNumId="1">
    <w:nsid w:val="56160E22"/>
    <w:multiLevelType w:val="singleLevel"/>
    <w:tmpl w:val="56160E22"/>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2B246C"/>
    <w:rsid w:val="00435B14"/>
    <w:rsid w:val="039C6434"/>
    <w:rsid w:val="049C5C08"/>
    <w:rsid w:val="04E9608B"/>
    <w:rsid w:val="06167F01"/>
    <w:rsid w:val="07183FAA"/>
    <w:rsid w:val="08697641"/>
    <w:rsid w:val="08B83E50"/>
    <w:rsid w:val="08BB5CA4"/>
    <w:rsid w:val="0BAF7C49"/>
    <w:rsid w:val="0C727E5F"/>
    <w:rsid w:val="0DA26D22"/>
    <w:rsid w:val="0EF352BE"/>
    <w:rsid w:val="10425699"/>
    <w:rsid w:val="10D65CD6"/>
    <w:rsid w:val="11D20A42"/>
    <w:rsid w:val="14DE450A"/>
    <w:rsid w:val="15E17929"/>
    <w:rsid w:val="16993C8F"/>
    <w:rsid w:val="183C616B"/>
    <w:rsid w:val="189F7A47"/>
    <w:rsid w:val="18A8487B"/>
    <w:rsid w:val="192B246C"/>
    <w:rsid w:val="198F717A"/>
    <w:rsid w:val="19FF2ACE"/>
    <w:rsid w:val="1A1004C3"/>
    <w:rsid w:val="1A906B9D"/>
    <w:rsid w:val="1AD7579C"/>
    <w:rsid w:val="1B3D236E"/>
    <w:rsid w:val="1F9143DE"/>
    <w:rsid w:val="1FC362CF"/>
    <w:rsid w:val="203514EB"/>
    <w:rsid w:val="214A2930"/>
    <w:rsid w:val="222817E6"/>
    <w:rsid w:val="224F2412"/>
    <w:rsid w:val="256B7C86"/>
    <w:rsid w:val="289B1457"/>
    <w:rsid w:val="289D1C30"/>
    <w:rsid w:val="29FF0DEE"/>
    <w:rsid w:val="2A4A7967"/>
    <w:rsid w:val="2B946C65"/>
    <w:rsid w:val="2D1F048A"/>
    <w:rsid w:val="2DE52BBA"/>
    <w:rsid w:val="2FB4117E"/>
    <w:rsid w:val="30D824A4"/>
    <w:rsid w:val="30DA1A06"/>
    <w:rsid w:val="31213C3D"/>
    <w:rsid w:val="314A02CD"/>
    <w:rsid w:val="31CB1E28"/>
    <w:rsid w:val="31D379C8"/>
    <w:rsid w:val="33530FB0"/>
    <w:rsid w:val="337C481A"/>
    <w:rsid w:val="33AF02DF"/>
    <w:rsid w:val="33D80B98"/>
    <w:rsid w:val="3469652A"/>
    <w:rsid w:val="348F2491"/>
    <w:rsid w:val="34D9748C"/>
    <w:rsid w:val="350F2E12"/>
    <w:rsid w:val="351D2295"/>
    <w:rsid w:val="36A26C3F"/>
    <w:rsid w:val="38877C09"/>
    <w:rsid w:val="38986EC0"/>
    <w:rsid w:val="39FC5854"/>
    <w:rsid w:val="3A7809FB"/>
    <w:rsid w:val="3A9050C5"/>
    <w:rsid w:val="3AFE2673"/>
    <w:rsid w:val="3DC13D5B"/>
    <w:rsid w:val="3DFB37E5"/>
    <w:rsid w:val="3E0A714A"/>
    <w:rsid w:val="3E1413EB"/>
    <w:rsid w:val="3E7303F9"/>
    <w:rsid w:val="3ECB1AC9"/>
    <w:rsid w:val="41230B80"/>
    <w:rsid w:val="412D36CD"/>
    <w:rsid w:val="42FB149C"/>
    <w:rsid w:val="469F2A2E"/>
    <w:rsid w:val="47AA4A54"/>
    <w:rsid w:val="47DB69A1"/>
    <w:rsid w:val="483F5103"/>
    <w:rsid w:val="49FE1191"/>
    <w:rsid w:val="4B181DF3"/>
    <w:rsid w:val="4B3545E5"/>
    <w:rsid w:val="4CDF3E38"/>
    <w:rsid w:val="4D956B45"/>
    <w:rsid w:val="4E2E378E"/>
    <w:rsid w:val="4F84393B"/>
    <w:rsid w:val="50623409"/>
    <w:rsid w:val="50E00639"/>
    <w:rsid w:val="51727C38"/>
    <w:rsid w:val="519A5273"/>
    <w:rsid w:val="51C61CED"/>
    <w:rsid w:val="51C638BA"/>
    <w:rsid w:val="53207EA1"/>
    <w:rsid w:val="55BA3607"/>
    <w:rsid w:val="569E183C"/>
    <w:rsid w:val="593846A6"/>
    <w:rsid w:val="5B7940AB"/>
    <w:rsid w:val="5D8376D2"/>
    <w:rsid w:val="5E4A0142"/>
    <w:rsid w:val="5F0D079A"/>
    <w:rsid w:val="5F8219D0"/>
    <w:rsid w:val="60554D2B"/>
    <w:rsid w:val="626212F3"/>
    <w:rsid w:val="643E487F"/>
    <w:rsid w:val="649D14B4"/>
    <w:rsid w:val="652728F5"/>
    <w:rsid w:val="68364DF6"/>
    <w:rsid w:val="68EB6301"/>
    <w:rsid w:val="6EA1583F"/>
    <w:rsid w:val="7029301F"/>
    <w:rsid w:val="70752A60"/>
    <w:rsid w:val="70CD0720"/>
    <w:rsid w:val="71C16C37"/>
    <w:rsid w:val="724D56AA"/>
    <w:rsid w:val="731B1A85"/>
    <w:rsid w:val="74920224"/>
    <w:rsid w:val="75624BE7"/>
    <w:rsid w:val="7A936FC0"/>
    <w:rsid w:val="7C025641"/>
    <w:rsid w:val="7C8A76D9"/>
    <w:rsid w:val="7C986943"/>
    <w:rsid w:val="7CD13361"/>
    <w:rsid w:val="7E164B10"/>
    <w:rsid w:val="7EB36A73"/>
    <w:rsid w:val="7F6D5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color w:val="666666"/>
      <w:u w:val="none"/>
    </w:rPr>
  </w:style>
  <w:style w:type="character" w:styleId="5">
    <w:name w:val="Emphasis"/>
    <w:basedOn w:val="3"/>
    <w:qFormat/>
    <w:uiPriority w:val="0"/>
    <w:rPr>
      <w:rFonts w:ascii="微软雅黑" w:hAnsi="微软雅黑" w:eastAsia="微软雅黑" w:cs="微软雅黑"/>
      <w:color w:val="555555"/>
      <w:sz w:val="18"/>
      <w:szCs w:val="18"/>
    </w:rPr>
  </w:style>
  <w:style w:type="character" w:styleId="6">
    <w:name w:val="Hyperlink"/>
    <w:basedOn w:val="3"/>
    <w:qFormat/>
    <w:uiPriority w:val="0"/>
    <w:rPr>
      <w:color w:val="66666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2018-06-07T01:35:00Z</dcterms:created>
  <dc:creator>谜底</dc:creator>
  <cp:lastModifiedBy>JJ150</cp:lastModifiedBy>
  <dcterms:modified xsi:type="dcterms:W3CDTF">2018-07-11T02:30:28Z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